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center"/>
        <w:rPr>
          <w:sz w:val="28"/>
          <w:szCs w:val="28"/>
        </w:rPr>
      </w:pPr>
      <w:r>
        <w:rPr>
          <w:rFonts w:ascii="Times New Roman" w:eastAsia="Times New Roman" w:hAnsi="Times New Roman" w:cs="Times New Roman"/>
          <w:b/>
          <w:bCs/>
          <w:sz w:val="28"/>
          <w:szCs w:val="28"/>
        </w:rPr>
        <w:t>РЕШЕНИЕ</w:t>
      </w:r>
    </w:p>
    <w:p>
      <w:pPr>
        <w:spacing w:before="0" w:after="0"/>
        <w:ind w:firstLine="567"/>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567"/>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 мая</w:t>
      </w:r>
      <w:r>
        <w:rPr>
          <w:rFonts w:ascii="Times New Roman" w:eastAsia="Times New Roman" w:hAnsi="Times New Roman" w:cs="Times New Roman"/>
          <w:sz w:val="28"/>
          <w:szCs w:val="28"/>
        </w:rPr>
        <w:t xml:space="preserve"> 2024 года</w:t>
      </w:r>
    </w:p>
    <w:p>
      <w:pPr>
        <w:widowControl w:val="0"/>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судебного участка №2 Ханты-Мансийского судебного района Ханты-Мансийского автономного округа-Югры Новокшенова О.А., </w:t>
      </w:r>
    </w:p>
    <w:p>
      <w:pPr>
        <w:spacing w:before="0" w:after="0"/>
        <w:ind w:firstLine="567"/>
        <w:jc w:val="both"/>
        <w:rPr>
          <w:sz w:val="28"/>
          <w:szCs w:val="28"/>
        </w:rPr>
      </w:pPr>
      <w:r>
        <w:rPr>
          <w:rFonts w:ascii="Times New Roman" w:eastAsia="Times New Roman" w:hAnsi="Times New Roman" w:cs="Times New Roman"/>
          <w:sz w:val="28"/>
          <w:szCs w:val="28"/>
        </w:rPr>
        <w:t>рассмотрев в порядке упрощенного производства гражданское дело №2-</w:t>
      </w:r>
      <w:r>
        <w:rPr>
          <w:rFonts w:ascii="Times New Roman" w:eastAsia="Times New Roman" w:hAnsi="Times New Roman" w:cs="Times New Roman"/>
          <w:sz w:val="28"/>
          <w:szCs w:val="28"/>
        </w:rPr>
        <w:t>617</w:t>
      </w:r>
      <w:r>
        <w:rPr>
          <w:rFonts w:ascii="Times New Roman" w:eastAsia="Times New Roman" w:hAnsi="Times New Roman" w:cs="Times New Roman"/>
          <w:sz w:val="28"/>
          <w:szCs w:val="28"/>
        </w:rPr>
        <w:t xml:space="preserve">-2802/2024 по иску </w:t>
      </w:r>
      <w:r>
        <w:rPr>
          <w:rFonts w:ascii="Times New Roman" w:eastAsia="Times New Roman" w:hAnsi="Times New Roman" w:cs="Times New Roman"/>
          <w:sz w:val="28"/>
          <w:szCs w:val="28"/>
        </w:rPr>
        <w:t>МП «Водоканал»</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Томшиной</w:t>
      </w:r>
      <w:r>
        <w:rPr>
          <w:rFonts w:ascii="Times New Roman" w:eastAsia="Times New Roman" w:hAnsi="Times New Roman" w:cs="Times New Roman"/>
          <w:sz w:val="28"/>
          <w:szCs w:val="28"/>
        </w:rPr>
        <w:t xml:space="preserve"> </w:t>
      </w:r>
      <w:r>
        <w:rPr>
          <w:rStyle w:val="cat-UserDefinedgrp-26rplc-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взыскании задолженности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widowControl w:val="0"/>
        <w:spacing w:before="0" w:after="0"/>
        <w:jc w:val="center"/>
        <w:rPr>
          <w:sz w:val="28"/>
          <w:szCs w:val="28"/>
        </w:rPr>
      </w:pPr>
      <w:r>
        <w:rPr>
          <w:rFonts w:ascii="Times New Roman" w:eastAsia="Times New Roman" w:hAnsi="Times New Roman" w:cs="Times New Roman"/>
          <w:sz w:val="28"/>
          <w:szCs w:val="28"/>
        </w:rPr>
        <w:t>УСТАНОВИЛ:</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Истец обратился к </w:t>
      </w:r>
      <w:r>
        <w:rPr>
          <w:rFonts w:ascii="Times New Roman" w:eastAsia="Times New Roman" w:hAnsi="Times New Roman" w:cs="Times New Roman"/>
          <w:sz w:val="28"/>
          <w:szCs w:val="28"/>
        </w:rPr>
        <w:t>ответчику</w:t>
      </w:r>
      <w:r>
        <w:rPr>
          <w:rFonts w:ascii="Times New Roman" w:eastAsia="Times New Roman" w:hAnsi="Times New Roman" w:cs="Times New Roman"/>
          <w:sz w:val="28"/>
          <w:szCs w:val="28"/>
        </w:rPr>
        <w:t xml:space="preserve"> с иском о взыскании задолженности за коммунальные услуги и расходов по оплате государственной пошлины.</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Исковые требования мотивированы тем, что истец является поставщиком услуг отопления многоквартирного дома </w:t>
      </w:r>
      <w:r>
        <w:rPr>
          <w:rStyle w:val="cat-UserDefinedgrp-28rplc-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Ответчик является собственником жилого помещения </w:t>
      </w:r>
      <w:r>
        <w:rPr>
          <w:rStyle w:val="cat-UserDefinedgrp-27rplc-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Жилищно-коммунальные услуги истцом оказаны в полном объеме и надлежащего качества, однако ответчик не оплачивает данные услуги. В результате чего у ответчика образовалась просроченная задолженность перед истцом за предоставленные жилищно-коммунальные услуги в размере </w:t>
      </w:r>
      <w:r>
        <w:rPr>
          <w:rFonts w:ascii="Times New Roman" w:eastAsia="Times New Roman" w:hAnsi="Times New Roman" w:cs="Times New Roman"/>
          <w:sz w:val="28"/>
          <w:szCs w:val="28"/>
        </w:rPr>
        <w:t>30023,18</w:t>
      </w:r>
      <w:r>
        <w:rPr>
          <w:rFonts w:ascii="Times New Roman" w:eastAsia="Times New Roman" w:hAnsi="Times New Roman" w:cs="Times New Roman"/>
          <w:sz w:val="28"/>
          <w:szCs w:val="28"/>
        </w:rPr>
        <w:t xml:space="preserve"> рублей за период с </w:t>
      </w:r>
      <w:r>
        <w:rPr>
          <w:rFonts w:ascii="Times New Roman" w:eastAsia="Times New Roman" w:hAnsi="Times New Roman" w:cs="Times New Roman"/>
          <w:sz w:val="28"/>
          <w:szCs w:val="28"/>
        </w:rPr>
        <w:t>01.10.2021</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31.11.2022</w:t>
      </w:r>
      <w:r>
        <w:rPr>
          <w:rFonts w:ascii="Times New Roman" w:eastAsia="Times New Roman" w:hAnsi="Times New Roman" w:cs="Times New Roman"/>
          <w:sz w:val="28"/>
          <w:szCs w:val="28"/>
        </w:rPr>
        <w:t xml:space="preserve">. В связи с чем, истец просит взыскать с ответчика задолженность за жилищно-коммунальные услуги в размере </w:t>
      </w:r>
      <w:r>
        <w:rPr>
          <w:rFonts w:ascii="Times New Roman" w:eastAsia="Times New Roman" w:hAnsi="Times New Roman" w:cs="Times New Roman"/>
          <w:sz w:val="28"/>
          <w:szCs w:val="28"/>
        </w:rPr>
        <w:t>24610,54</w:t>
      </w:r>
      <w:r>
        <w:rPr>
          <w:rFonts w:ascii="Times New Roman" w:eastAsia="Times New Roman" w:hAnsi="Times New Roman" w:cs="Times New Roman"/>
          <w:sz w:val="28"/>
          <w:szCs w:val="28"/>
        </w:rPr>
        <w:t xml:space="preserve"> руб., пени в размере </w:t>
      </w:r>
      <w:r>
        <w:rPr>
          <w:rFonts w:ascii="Times New Roman" w:eastAsia="Times New Roman" w:hAnsi="Times New Roman" w:cs="Times New Roman"/>
          <w:sz w:val="28"/>
          <w:szCs w:val="28"/>
        </w:rPr>
        <w:t>5412,64</w:t>
      </w:r>
      <w:r>
        <w:rPr>
          <w:rFonts w:ascii="Times New Roman" w:eastAsia="Times New Roman" w:hAnsi="Times New Roman" w:cs="Times New Roman"/>
          <w:sz w:val="28"/>
          <w:szCs w:val="28"/>
        </w:rPr>
        <w:t xml:space="preserve"> руб. и расходы по уплате государственной пошлины. </w:t>
      </w:r>
    </w:p>
    <w:p>
      <w:pPr>
        <w:widowControl w:val="0"/>
        <w:spacing w:before="0" w:after="0"/>
        <w:ind w:firstLine="709"/>
        <w:jc w:val="both"/>
        <w:rPr>
          <w:sz w:val="28"/>
          <w:szCs w:val="28"/>
        </w:rPr>
      </w:pPr>
      <w:r>
        <w:rPr>
          <w:rFonts w:ascii="Times New Roman" w:eastAsia="Times New Roman" w:hAnsi="Times New Roman" w:cs="Times New Roman"/>
          <w:sz w:val="28"/>
          <w:szCs w:val="28"/>
        </w:rPr>
        <w:t>Мировыми судьей вынесено определение о принятии искового заявления к производству, о рассмотрении дела в порядке упрощенного производства, в котором установлен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Копия указанного определения была направлена ответчику. Ответчи</w:t>
      </w:r>
      <w:r>
        <w:rPr>
          <w:rFonts w:ascii="Times New Roman" w:eastAsia="Times New Roman" w:hAnsi="Times New Roman" w:cs="Times New Roman"/>
          <w:sz w:val="28"/>
          <w:szCs w:val="28"/>
        </w:rPr>
        <w:t>ком копия определения получена, возражений не представлено.</w:t>
      </w:r>
    </w:p>
    <w:p>
      <w:pPr>
        <w:widowControl w:val="0"/>
        <w:spacing w:before="0" w:after="0"/>
        <w:ind w:firstLine="54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Исследовав письменные материалы дела, суд пришел к следующему.</w:t>
      </w:r>
    </w:p>
    <w:p>
      <w:pPr>
        <w:spacing w:before="0" w:after="0"/>
        <w:jc w:val="both"/>
        <w:rPr>
          <w:sz w:val="28"/>
          <w:szCs w:val="28"/>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 xml:space="preserve">В соответствии со </w:t>
      </w:r>
      <w:hyperlink r:id="rId4" w:anchor="/document/10164072/entry/209" w:history="1">
        <w:r>
          <w:rPr>
            <w:rFonts w:ascii="Times New Roman" w:eastAsia="Times New Roman" w:hAnsi="Times New Roman" w:cs="Times New Roman"/>
            <w:color w:val="0000EE"/>
            <w:sz w:val="28"/>
            <w:szCs w:val="28"/>
            <w:u w:val="single" w:color="0000EE"/>
          </w:rPr>
          <w:t>ст.209</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ГК РФ собственнику принадлежат права владения, пользования и распоряжения своим имуществом. Согласно </w:t>
      </w:r>
      <w:hyperlink r:id="rId4" w:anchor="/document/10164072/entry/210" w:history="1">
        <w:r>
          <w:rPr>
            <w:rFonts w:ascii="Times New Roman" w:eastAsia="Times New Roman" w:hAnsi="Times New Roman" w:cs="Times New Roman"/>
            <w:color w:val="0000EE"/>
            <w:sz w:val="28"/>
            <w:szCs w:val="28"/>
            <w:u w:val="single" w:color="0000EE"/>
          </w:rPr>
          <w:t>ст.210</w:t>
        </w:r>
      </w:hyperlink>
      <w:r>
        <w:rPr>
          <w:rFonts w:ascii="Times New Roman" w:eastAsia="Times New Roman" w:hAnsi="Times New Roman" w:cs="Times New Roman"/>
          <w:sz w:val="28"/>
          <w:szCs w:val="28"/>
        </w:rPr>
        <w:t xml:space="preserve"> ГК РФ собственник несет бремя содержания, принадлежащего ему имущества, если иное не предусмотрено законом или договором.</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ст.309 ГК РФ обязательства должны исполняться надлежащим образом в соответствии с условиями обязательства и требованиями закона. В соответствии со ст. 310 ГК РФ односторонний отказ от исполнения обязательства не допускается.</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ст.13 </w:t>
      </w:r>
      <w:r>
        <w:rPr>
          <w:rFonts w:ascii="Times New Roman" w:eastAsia="Times New Roman" w:hAnsi="Times New Roman" w:cs="Times New Roman"/>
          <w:sz w:val="28"/>
          <w:szCs w:val="28"/>
        </w:rPr>
        <w:t>Федерального закона "О водоснабжении и водоотведении" от 07.12.2011 N 416-ФЗ</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договору горячего или холодного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w:t>
      </w:r>
      <w:r>
        <w:rPr>
          <w:rFonts w:ascii="Times New Roman" w:eastAsia="Times New Roman" w:hAnsi="Times New Roman" w:cs="Times New Roman"/>
          <w:sz w:val="28"/>
          <w:szCs w:val="28"/>
        </w:rPr>
        <w:t>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договору водоснабжения применяются положения о договоре об энергоснабжении, предусмотренные Гражданским </w:t>
      </w:r>
      <w:hyperlink r:id="rId5" w:anchor="dst100390" w:history="1">
        <w:r>
          <w:rPr>
            <w:rFonts w:ascii="Times New Roman" w:eastAsia="Times New Roman" w:hAnsi="Times New Roman" w:cs="Times New Roman"/>
            <w:color w:val="0000EE"/>
            <w:sz w:val="28"/>
            <w:szCs w:val="28"/>
            <w:u w:val="single" w:color="0000EE"/>
          </w:rPr>
          <w:t>кодексом</w:t>
        </w:r>
      </w:hyperlink>
      <w:r>
        <w:rPr>
          <w:rFonts w:ascii="Times New Roman" w:eastAsia="Times New Roman" w:hAnsi="Times New Roman" w:cs="Times New Roman"/>
          <w:sz w:val="28"/>
          <w:szCs w:val="28"/>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Согласно ч.1 ст.779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В соответствии с ч.1 ст.781 ГК РФ заказчик обязуется оплатить эти услуги в сроки и в порядке, которые указаны в договоре возмездного оказания услуг.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со ст. 10 ЖК РФ, 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r>
        <w:rPr>
          <w:rFonts w:ascii="Times New Roman" w:eastAsia="Times New Roman" w:hAnsi="Times New Roman" w:cs="Times New Roman"/>
          <w:sz w:val="28"/>
          <w:szCs w:val="28"/>
        </w:rPr>
        <w:t xml:space="preserve"> 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r>
        <w:rPr>
          <w:rFonts w:ascii="Times New Roman" w:eastAsia="Times New Roman" w:hAnsi="Times New Roman" w:cs="Times New Roman"/>
          <w:sz w:val="28"/>
          <w:szCs w:val="28"/>
        </w:rPr>
        <w:t xml:space="preserve"> 3) из судебных решений, установивших жилищные права и обязанности;</w:t>
      </w:r>
      <w:r>
        <w:rPr>
          <w:rFonts w:ascii="Times New Roman" w:eastAsia="Times New Roman" w:hAnsi="Times New Roman" w:cs="Times New Roman"/>
          <w:sz w:val="28"/>
          <w:szCs w:val="28"/>
        </w:rPr>
        <w:t xml:space="preserve"> 4) в результате приобретения в собственность жилых помещений по основаниям, допускаемым федеральным законом;</w:t>
      </w:r>
      <w:r>
        <w:rPr>
          <w:rFonts w:ascii="Times New Roman" w:eastAsia="Times New Roman" w:hAnsi="Times New Roman" w:cs="Times New Roman"/>
          <w:sz w:val="28"/>
          <w:szCs w:val="28"/>
        </w:rPr>
        <w:t xml:space="preserve"> 5) из членства в жилищных или жилищно-строительных кооперативах;</w:t>
      </w:r>
      <w:r>
        <w:rPr>
          <w:rFonts w:ascii="Times New Roman" w:eastAsia="Times New Roman" w:hAnsi="Times New Roman" w:cs="Times New Roman"/>
          <w:sz w:val="28"/>
          <w:szCs w:val="28"/>
        </w:rPr>
        <w:t xml:space="preserve"> 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п. 6 Условий предоставлений коммунальных услуг Правил предоставления коммунальных услуг собственникам и пользователям помещений в многоквартирном домах и жилых помещений, утвержденный постановлением Правительством РФ от 06.05.2011 №354, </w:t>
      </w:r>
      <w:r>
        <w:rPr>
          <w:rFonts w:ascii="Times New Roman" w:eastAsia="Times New Roman" w:hAnsi="Times New Roman" w:cs="Times New Roman"/>
          <w:sz w:val="28"/>
          <w:szCs w:val="28"/>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pPr>
        <w:widowControl w:val="0"/>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выписки из ЕГРН ответчик является собственником жилого помещения №102 по </w:t>
      </w:r>
      <w:r>
        <w:rPr>
          <w:rFonts w:ascii="Times New Roman" w:eastAsia="Times New Roman" w:hAnsi="Times New Roman" w:cs="Times New Roman"/>
          <w:sz w:val="28"/>
          <w:szCs w:val="28"/>
        </w:rPr>
        <w:t>ул.Чехова</w:t>
      </w:r>
      <w:r>
        <w:rPr>
          <w:rFonts w:ascii="Times New Roman" w:eastAsia="Times New Roman" w:hAnsi="Times New Roman" w:cs="Times New Roman"/>
          <w:sz w:val="28"/>
          <w:szCs w:val="28"/>
        </w:rPr>
        <w:t xml:space="preserve"> д. 43 в </w:t>
      </w:r>
      <w:r>
        <w:rPr>
          <w:rFonts w:ascii="Times New Roman" w:eastAsia="Times New Roman" w:hAnsi="Times New Roman" w:cs="Times New Roman"/>
          <w:sz w:val="28"/>
          <w:szCs w:val="28"/>
        </w:rPr>
        <w:t>г.Ханты-Мансийске</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Истец МП «Водоканал», зарегистрировано в установленном законом порядке в едином государственном реестре юридических лиц, что подтверждается свидетельством о государственной регистрации юридического лица и Выпиской из ЕРЮЛ.</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выпиской из ЕРЮЛ «МП «Водоканал», организация обеспечивает население, предприятия и организации сбор и обработку сточных вод, распределение воды для питьевых и промышленных нужд</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со ст.ст.153, 154, 155 ЖК РФ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Плата за жилое помещение и коммунальные услуги вносится ежемесячно до десятого числа месяца.</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силу п.14 ст.155 ЖК РФ лица, несвоевременно и (или) не полностью внесшие плату за жилое помещение и коммунальные услуги (должники) (за исключением взносов за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Российской Федерации от 6 мая 2011 г. №354 утверждены </w:t>
      </w:r>
      <w:hyperlink r:id="rId4" w:anchor="/document/12186043/entry/0" w:history="1">
        <w:r>
          <w:rPr>
            <w:rFonts w:ascii="Times New Roman" w:eastAsia="Times New Roman" w:hAnsi="Times New Roman" w:cs="Times New Roman"/>
            <w:color w:val="0000EE"/>
            <w:sz w:val="28"/>
            <w:szCs w:val="28"/>
          </w:rPr>
          <w:t>Правила предоставления коммунальных услуг собственникам</w:t>
        </w:r>
      </w:hyperlink>
      <w:r>
        <w:rPr>
          <w:rFonts w:ascii="Times New Roman" w:eastAsia="Times New Roman" w:hAnsi="Times New Roman" w:cs="Times New Roman"/>
          <w:sz w:val="28"/>
          <w:szCs w:val="28"/>
        </w:rPr>
        <w:t xml:space="preserve"> и пользователям помещений в многоквартирных домах и жилых домов, которые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и др.</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ч. 1 и 3 ст. </w:t>
      </w:r>
      <w:hyperlink r:id="rId6" w:anchor="1/157" w:history="1">
        <w:r>
          <w:rPr>
            <w:rFonts w:ascii="Times New Roman" w:eastAsia="Times New Roman" w:hAnsi="Times New Roman" w:cs="Times New Roman"/>
            <w:color w:val="0000EE"/>
            <w:sz w:val="28"/>
            <w:szCs w:val="28"/>
            <w:u w:val="single" w:color="0000EE"/>
          </w:rPr>
          <w:t>157 ЖК РФ</w:t>
        </w:r>
      </w:hyperlink>
      <w:r>
        <w:rPr>
          <w:rFonts w:ascii="Times New Roman" w:eastAsia="Times New Roman" w:hAnsi="Times New Roman" w:cs="Times New Roman"/>
          <w:sz w:val="28"/>
          <w:szCs w:val="28"/>
        </w:rPr>
        <w:t>,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коммунальных услуг гражданам устанавливаются Правительством Российской Федерации.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с п. 15 Постановления Правительства РФ №354 от 06.05.2011 «О порядке предоставления коммунальных услуг гражданам»,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r>
        <w:rPr>
          <w:rFonts w:ascii="Times New Roman" w:eastAsia="Times New Roman" w:hAnsi="Times New Roman" w:cs="Times New Roman"/>
          <w:sz w:val="28"/>
          <w:szCs w:val="28"/>
        </w:rPr>
        <w:t>ресурсоснабжающих</w:t>
      </w:r>
      <w:r>
        <w:rPr>
          <w:rFonts w:ascii="Times New Roman" w:eastAsia="Times New Roman" w:hAnsi="Times New Roman" w:cs="Times New Roman"/>
          <w:sz w:val="28"/>
          <w:szCs w:val="28"/>
        </w:rPr>
        <w:t xml:space="preserve"> организаций в порядке, определенном законодательством Российской Федерации.</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ч.1 ст. 158 ЖК РФ собственник помещения в многоквартирном доме обязан нести расходы на содержание принадлежащего ему помещения,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 судебном заседании установлено, что МП «Водоканал» поставило коммунальные услуги за период с </w:t>
      </w:r>
      <w:r>
        <w:rPr>
          <w:rFonts w:ascii="Times New Roman" w:eastAsia="Times New Roman" w:hAnsi="Times New Roman" w:cs="Times New Roman"/>
          <w:sz w:val="28"/>
          <w:szCs w:val="28"/>
        </w:rPr>
        <w:t>01.10.2021</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31.11.2022</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 образом, анализируя приведенные правовые нормы, следует, что именно на ответчике лежит обязанность по уплате за потребленные коммунальные услуги.</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силу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12, 56 ГПК РФ, гражданское судопроизводство осуществляется на </w:t>
      </w:r>
      <w:r>
        <w:rPr>
          <w:rFonts w:ascii="Times New Roman" w:eastAsia="Times New Roman" w:hAnsi="Times New Roman" w:cs="Times New Roman"/>
          <w:sz w:val="28"/>
          <w:szCs w:val="28"/>
        </w:rPr>
        <w:t xml:space="preserve">основе состязательности и равноправии сторон, каждая сторона должна доказать те </w:t>
      </w:r>
      <w:r>
        <w:rPr>
          <w:rFonts w:ascii="Times New Roman" w:eastAsia="Times New Roman" w:hAnsi="Times New Roman" w:cs="Times New Roman"/>
          <w:spacing w:val="3"/>
          <w:sz w:val="28"/>
          <w:szCs w:val="28"/>
        </w:rPr>
        <w:t xml:space="preserve">обстоятельства, на которые она ссылается как на основания своих требований и </w:t>
      </w:r>
      <w:r>
        <w:rPr>
          <w:rFonts w:ascii="Times New Roman" w:eastAsia="Times New Roman" w:hAnsi="Times New Roman" w:cs="Times New Roman"/>
          <w:sz w:val="28"/>
          <w:szCs w:val="28"/>
        </w:rPr>
        <w:t>возражений.</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(ст.ст.55, 67 ГПК РФ).</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усматривается из материалов дела и не оспаривается сторонами, ответчик не вносила плату за коммунальные услуги.</w:t>
      </w:r>
    </w:p>
    <w:p>
      <w:pPr>
        <w:widowControl w:val="0"/>
        <w:spacing w:before="0" w:after="0"/>
        <w:ind w:firstLine="567"/>
        <w:jc w:val="both"/>
        <w:rPr>
          <w:sz w:val="28"/>
          <w:szCs w:val="28"/>
        </w:rPr>
      </w:pPr>
      <w:r>
        <w:rPr>
          <w:rFonts w:ascii="Times New Roman" w:eastAsia="Times New Roman" w:hAnsi="Times New Roman" w:cs="Times New Roman"/>
          <w:sz w:val="28"/>
          <w:szCs w:val="28"/>
        </w:rPr>
        <w:t>Суд считает доказательства истца относимыми и допустимыми.</w:t>
      </w:r>
    </w:p>
    <w:p>
      <w:pPr>
        <w:widowControl w:val="0"/>
        <w:spacing w:before="0" w:after="0"/>
        <w:ind w:firstLine="567"/>
        <w:jc w:val="both"/>
        <w:rPr>
          <w:sz w:val="28"/>
          <w:szCs w:val="28"/>
        </w:rPr>
      </w:pPr>
      <w:r>
        <w:rPr>
          <w:rFonts w:ascii="Times New Roman" w:eastAsia="Times New Roman" w:hAnsi="Times New Roman" w:cs="Times New Roman"/>
          <w:sz w:val="28"/>
          <w:szCs w:val="28"/>
        </w:rPr>
        <w:t>Ответчиком не представлены суду надлежащие доказательства, опровергающие доводы истца о наличии задолженности, а также опровергающие расчеты истца о сумме задолженности.</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Поскольку представленный истцом расчет соответствует требованиям гражданского законодательства РФ, проверен судом и не опровергнут стороной ответчика исковые требования подлежат удовлетворению,</w:t>
      </w:r>
      <w:r>
        <w:rPr>
          <w:rFonts w:ascii="Times New Roman" w:eastAsia="Times New Roman" w:hAnsi="Times New Roman" w:cs="Times New Roman"/>
          <w:sz w:val="28"/>
          <w:szCs w:val="28"/>
        </w:rPr>
        <w:t xml:space="preserve"> в связи с чем пребывания истца о взыскании задолженности в размере </w:t>
      </w:r>
      <w:r>
        <w:rPr>
          <w:rFonts w:ascii="Times New Roman" w:eastAsia="Times New Roman" w:hAnsi="Times New Roman" w:cs="Times New Roman"/>
          <w:sz w:val="28"/>
          <w:szCs w:val="28"/>
        </w:rPr>
        <w:t>24610,54</w:t>
      </w:r>
      <w:r>
        <w:rPr>
          <w:rFonts w:ascii="Times New Roman" w:eastAsia="Times New Roman" w:hAnsi="Times New Roman" w:cs="Times New Roman"/>
          <w:sz w:val="28"/>
          <w:szCs w:val="28"/>
        </w:rPr>
        <w:t xml:space="preserve"> руб., а также пени в размере </w:t>
      </w:r>
      <w:r>
        <w:rPr>
          <w:rFonts w:ascii="Times New Roman" w:eastAsia="Times New Roman" w:hAnsi="Times New Roman" w:cs="Times New Roman"/>
          <w:sz w:val="28"/>
          <w:szCs w:val="28"/>
        </w:rPr>
        <w:t>5412,64</w:t>
      </w:r>
      <w:r>
        <w:rPr>
          <w:rFonts w:ascii="Times New Roman" w:eastAsia="Times New Roman" w:hAnsi="Times New Roman" w:cs="Times New Roman"/>
          <w:sz w:val="28"/>
          <w:szCs w:val="28"/>
        </w:rPr>
        <w:t xml:space="preserve"> рублей обоснованы и подлежат удовлетворению в заявленном размере.</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Оснований для снижения пени не имеется.</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силу ст. 98 ГПК РФ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судом исковых требований, в связи с чем в пользу истца с ответчика подлежат взысканию расходы по оплате государственной пошлины в размере </w:t>
      </w:r>
      <w:r>
        <w:rPr>
          <w:rFonts w:ascii="Times New Roman" w:eastAsia="Times New Roman" w:hAnsi="Times New Roman" w:cs="Times New Roman"/>
          <w:sz w:val="28"/>
          <w:szCs w:val="28"/>
        </w:rPr>
        <w:t>1100,70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p>
      <w:pPr>
        <w:spacing w:before="0" w:after="0"/>
        <w:ind w:firstLine="567"/>
        <w:jc w:val="both"/>
        <w:rPr>
          <w:sz w:val="28"/>
          <w:szCs w:val="28"/>
        </w:rPr>
      </w:pPr>
      <w:r>
        <w:rPr>
          <w:rFonts w:ascii="Times New Roman" w:eastAsia="Times New Roman" w:hAnsi="Times New Roman" w:cs="Times New Roman"/>
          <w:sz w:val="28"/>
          <w:szCs w:val="28"/>
        </w:rPr>
        <w:t>Руководствуясь ст.ст.12, 194-197, 232.4 Гражданского процессуального кодекса Российской Федерации, мировой судья</w:t>
      </w:r>
    </w:p>
    <w:p>
      <w:pPr>
        <w:spacing w:before="0" w:after="0"/>
        <w:ind w:firstLine="567"/>
        <w:jc w:val="center"/>
        <w:rPr>
          <w:sz w:val="28"/>
          <w:szCs w:val="28"/>
        </w:rPr>
      </w:pPr>
      <w:r>
        <w:rPr>
          <w:rFonts w:ascii="Times New Roman" w:eastAsia="Times New Roman" w:hAnsi="Times New Roman" w:cs="Times New Roman"/>
          <w:sz w:val="28"/>
          <w:szCs w:val="28"/>
        </w:rPr>
        <w:t>РЕШИЛ:</w:t>
      </w:r>
    </w:p>
    <w:p>
      <w:pPr>
        <w:spacing w:before="0" w:after="0"/>
        <w:ind w:firstLine="567"/>
        <w:jc w:val="both"/>
        <w:rPr>
          <w:sz w:val="28"/>
          <w:szCs w:val="28"/>
        </w:rPr>
      </w:pPr>
      <w:r>
        <w:rPr>
          <w:rFonts w:ascii="Times New Roman" w:eastAsia="Times New Roman" w:hAnsi="Times New Roman" w:cs="Times New Roman"/>
          <w:sz w:val="28"/>
          <w:szCs w:val="28"/>
        </w:rPr>
        <w:t xml:space="preserve">Исковые требования </w:t>
      </w:r>
      <w:r>
        <w:rPr>
          <w:rFonts w:ascii="Times New Roman" w:eastAsia="Times New Roman" w:hAnsi="Times New Roman" w:cs="Times New Roman"/>
          <w:sz w:val="28"/>
          <w:szCs w:val="28"/>
        </w:rPr>
        <w:t>МП «Водоканал»</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Томшиной</w:t>
      </w:r>
      <w:r>
        <w:rPr>
          <w:rFonts w:ascii="Times New Roman" w:eastAsia="Times New Roman" w:hAnsi="Times New Roman" w:cs="Times New Roman"/>
          <w:sz w:val="28"/>
          <w:szCs w:val="28"/>
        </w:rPr>
        <w:t xml:space="preserve"> </w:t>
      </w:r>
      <w:r>
        <w:rPr>
          <w:rStyle w:val="cat-UserDefinedgrp-26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взыскании задолженности</w:t>
      </w:r>
      <w:r>
        <w:rPr>
          <w:rFonts w:ascii="Times New Roman" w:eastAsia="Times New Roman" w:hAnsi="Times New Roman" w:cs="Times New Roman"/>
          <w:sz w:val="28"/>
          <w:szCs w:val="28"/>
        </w:rPr>
        <w:t xml:space="preserve"> удовлетворить.</w:t>
      </w:r>
    </w:p>
    <w:p>
      <w:pPr>
        <w:spacing w:before="0" w:after="0"/>
        <w:ind w:firstLine="567"/>
        <w:jc w:val="both"/>
        <w:rPr>
          <w:sz w:val="28"/>
          <w:szCs w:val="28"/>
        </w:rPr>
      </w:pPr>
      <w:r>
        <w:rPr>
          <w:rFonts w:ascii="Times New Roman" w:eastAsia="Times New Roman" w:hAnsi="Times New Roman" w:cs="Times New Roman"/>
          <w:sz w:val="28"/>
          <w:szCs w:val="28"/>
        </w:rPr>
        <w:t xml:space="preserve">Взыскать с </w:t>
      </w:r>
      <w:r>
        <w:rPr>
          <w:rFonts w:ascii="Times New Roman" w:eastAsia="Times New Roman" w:hAnsi="Times New Roman" w:cs="Times New Roman"/>
          <w:sz w:val="28"/>
          <w:szCs w:val="28"/>
        </w:rPr>
        <w:t>Томшиной</w:t>
      </w:r>
      <w:r>
        <w:rPr>
          <w:rFonts w:ascii="Times New Roman" w:eastAsia="Times New Roman" w:hAnsi="Times New Roman" w:cs="Times New Roman"/>
          <w:sz w:val="28"/>
          <w:szCs w:val="28"/>
        </w:rPr>
        <w:t xml:space="preserve"> </w:t>
      </w:r>
      <w:r>
        <w:rPr>
          <w:rStyle w:val="cat-UserDefinedgrp-30rplc-3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(паспорт </w:t>
      </w:r>
      <w:r>
        <w:rPr>
          <w:rStyle w:val="cat-UserDefinedgrp-29rplc-3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пользу </w:t>
      </w:r>
      <w:r>
        <w:rPr>
          <w:rFonts w:ascii="Times New Roman" w:eastAsia="Times New Roman" w:hAnsi="Times New Roman" w:cs="Times New Roman"/>
          <w:sz w:val="28"/>
          <w:szCs w:val="28"/>
        </w:rPr>
        <w:t>МП «Водоканал»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30023,18</w:t>
      </w:r>
      <w:r>
        <w:rPr>
          <w:rFonts w:ascii="Times New Roman" w:eastAsia="Times New Roman" w:hAnsi="Times New Roman" w:cs="Times New Roman"/>
          <w:sz w:val="28"/>
          <w:szCs w:val="28"/>
        </w:rPr>
        <w:t xml:space="preserve"> руб. – в счет долга, </w:t>
      </w:r>
      <w:r>
        <w:rPr>
          <w:rFonts w:ascii="Times New Roman" w:eastAsia="Times New Roman" w:hAnsi="Times New Roman" w:cs="Times New Roman"/>
          <w:sz w:val="28"/>
          <w:szCs w:val="28"/>
        </w:rPr>
        <w:t>1100,70</w:t>
      </w:r>
      <w:r>
        <w:rPr>
          <w:rFonts w:ascii="Times New Roman" w:eastAsia="Times New Roman" w:hAnsi="Times New Roman" w:cs="Times New Roman"/>
          <w:sz w:val="28"/>
          <w:szCs w:val="28"/>
        </w:rPr>
        <w:t xml:space="preserve"> руб. – в чет госпошлины.</w:t>
      </w:r>
    </w:p>
    <w:p>
      <w:pPr>
        <w:spacing w:before="0" w:after="0"/>
        <w:ind w:firstLine="567"/>
        <w:jc w:val="both"/>
        <w:rPr>
          <w:sz w:val="28"/>
          <w:szCs w:val="28"/>
        </w:rPr>
      </w:pPr>
      <w:r>
        <w:rPr>
          <w:rFonts w:ascii="Times New Roman" w:eastAsia="Times New Roman" w:hAnsi="Times New Roman" w:cs="Times New Roman"/>
          <w:sz w:val="28"/>
          <w:szCs w:val="28"/>
        </w:rPr>
        <w:t xml:space="preserve">Решение по результатам рассмотрения дела в порядке упрощенного производства может быть обжаловано в Ханты-Мансийский районный суд Ханты-Мансийского автономного округа-Югры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судебного участка №2 Ханты-Мансийского судебного района Ханты-Мансийского автономного округа-Югры в течение 15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pPr>
        <w:spacing w:before="0" w:after="0"/>
        <w:ind w:firstLine="567"/>
        <w:jc w:val="both"/>
        <w:rPr>
          <w:sz w:val="28"/>
          <w:szCs w:val="28"/>
        </w:rPr>
      </w:pPr>
      <w:r>
        <w:rPr>
          <w:rFonts w:ascii="Times New Roman" w:eastAsia="Times New Roman" w:hAnsi="Times New Roman" w:cs="Times New Roman"/>
          <w:sz w:val="28"/>
          <w:szCs w:val="28"/>
        </w:rPr>
        <w:t xml:space="preserve">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 </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Мотивированное решение изготовлено </w:t>
      </w:r>
      <w:r>
        <w:rPr>
          <w:rFonts w:ascii="Times New Roman" w:eastAsia="Times New Roman" w:hAnsi="Times New Roman" w:cs="Times New Roman"/>
          <w:sz w:val="28"/>
          <w:szCs w:val="28"/>
        </w:rPr>
        <w:t>14 мая 2024 года</w:t>
      </w:r>
      <w:r>
        <w:rPr>
          <w:rFonts w:ascii="Times New Roman" w:eastAsia="Times New Roman" w:hAnsi="Times New Roman" w:cs="Times New Roman"/>
          <w:sz w:val="28"/>
          <w:szCs w:val="28"/>
        </w:rPr>
        <w:t xml:space="preserve">. </w:t>
      </w:r>
    </w:p>
    <w:p>
      <w:pPr>
        <w:widowControl w:val="0"/>
        <w:spacing w:before="0" w:after="0"/>
        <w:jc w:val="both"/>
        <w:rPr>
          <w:sz w:val="28"/>
          <w:szCs w:val="28"/>
        </w:rPr>
      </w:pPr>
    </w:p>
    <w:p>
      <w:pPr>
        <w:widowControl w:val="0"/>
        <w:spacing w:before="0" w:after="0"/>
        <w:jc w:val="both"/>
        <w:rPr>
          <w:sz w:val="28"/>
          <w:szCs w:val="28"/>
        </w:rPr>
      </w:pPr>
    </w:p>
    <w:p>
      <w:pPr>
        <w:widowControl w:val="0"/>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Новокшенова</w:t>
      </w:r>
    </w:p>
    <w:p>
      <w:pPr>
        <w:widowControl w:val="0"/>
        <w:spacing w:before="0" w:after="0"/>
        <w:rPr>
          <w:sz w:val="28"/>
          <w:szCs w:val="28"/>
        </w:rPr>
      </w:pPr>
      <w:r>
        <w:rPr>
          <w:rFonts w:ascii="Times New Roman" w:eastAsia="Times New Roman" w:hAnsi="Times New Roman" w:cs="Times New Roman"/>
          <w:sz w:val="28"/>
          <w:szCs w:val="28"/>
        </w:rPr>
        <w:t>Копия верна:</w:t>
      </w:r>
    </w:p>
    <w:p>
      <w:pPr>
        <w:widowControl w:val="0"/>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Новокшенова</w:t>
      </w:r>
    </w:p>
    <w:p>
      <w:pPr>
        <w:widowControl w:val="0"/>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6rplc-5">
    <w:name w:val="cat-UserDefined grp-26 rplc-5"/>
    <w:basedOn w:val="DefaultParagraphFont"/>
  </w:style>
  <w:style w:type="character" w:customStyle="1" w:styleId="cat-UserDefinedgrp-28rplc-6">
    <w:name w:val="cat-UserDefined grp-28 rplc-6"/>
    <w:basedOn w:val="DefaultParagraphFont"/>
  </w:style>
  <w:style w:type="character" w:customStyle="1" w:styleId="cat-UserDefinedgrp-27rplc-9">
    <w:name w:val="cat-UserDefined grp-27 rplc-9"/>
    <w:basedOn w:val="DefaultParagraphFont"/>
  </w:style>
  <w:style w:type="character" w:customStyle="1" w:styleId="cat-UserDefinedgrp-26rplc-30">
    <w:name w:val="cat-UserDefined grp-26 rplc-30"/>
    <w:basedOn w:val="DefaultParagraphFont"/>
  </w:style>
  <w:style w:type="character" w:customStyle="1" w:styleId="cat-UserDefinedgrp-30rplc-32">
    <w:name w:val="cat-UserDefined grp-30 rplc-32"/>
    <w:basedOn w:val="DefaultParagraphFont"/>
  </w:style>
  <w:style w:type="character" w:customStyle="1" w:styleId="cat-UserDefinedgrp-29rplc-35">
    <w:name w:val="cat-UserDefined grp-29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www.consultant.ru/document/cons_doc_LAW_300853/253bada481521fd50c402011c3ddd1d625c1ed84/" TargetMode="External" /><Relationship Id="rId6" Type="http://schemas.openxmlformats.org/officeDocument/2006/relationships/hyperlink" Target="http://sud-praktika.ru/precedent/393988.html" TargetMode="Externa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